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ecologique  des mares endoreiques et temporaires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Metallaoui; Sophia/ Université Badji Mokhtar/ Samraoui, 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écologie/ temporaires/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Nous avons mené une étude écologique des mares endoreiques temporaires 21 mares dans le nord-est algérien. durant une année d'étude, de décembre 1996 à juin 1997, nous avons remarqué que les sites d'étude sont riches en espèces animales et végétales dont certaines sont considérées comme rares et localisées. </w:t>
        <w:br/>
        <w:br/>
        <w:t xml:space="preserve">l'analyse de l'évolution et de l'abondance des espèces floristiques et faunistiques effectuée à l'aide d'indices écologiques, de l'analyse factorielle des correspondances et de l'analyse en composantes principales normée ont permis de déceler d'importantes interactions et d'identifier certains facteurs abiotiques structurant les communautés étudiées. 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