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spectroscopiques de matériaux vibroniques à centres colorés et de matériaux fluorures dopés aux ions de terres rares  (Erbium et thulium Trivalents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Diaf. Madjid / Université Badji Mokhtar/ Mayoufi, M./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Annaba </w:t>
            </w:r>
          </w:p>
        </w:tc>
      </w:tr>
      <w:tr>
        <w:trPr>
          <w:trHeight w:val="567"/>
        </w:trPr>
        <w:tc>
          <w:tcPr>
            <w:tcW w:type="dxa" w:w="3000"/>
          </w:tcPr>
          <w:p>
            <w:r>
              <w:t>Sujet(s)</w:t>
            </w:r>
          </w:p>
        </w:tc>
        <w:tc>
          <w:tcPr>
            <w:tcW w:type="dxa" w:w="7000"/>
          </w:tcPr>
          <w:p>
            <w:r>
              <w:t xml:space="preserve">propriété spectroscopique/ matériaux laser/ matériaux fluorure/ </w:t>
            </w:r>
          </w:p>
        </w:tc>
      </w:tr>
    </w:tbl>
    <w:p>
      <w:pPr>
        <w:pStyle w:val="Heading3"/>
      </w:pPr>
      <w:r>
        <w:t>Résumé :</w:t>
      </w:r>
    </w:p>
    <w:p>
      <w:r>
        <w:t>Depuis la découverte de l'effet laser dans le rubis (monocristal d'alumine Al2O3 dopé 1% Cr³+) en 1960 par Maiman [1], un grand nombre de matériaux lasers ont été préparés [2]. On en recense actuellement plus de 300 qui se partagent en deux familles selon que leur émission laser est constituée d'une série de longueurs d'ondes discrètes ou qu'elle est accordable continûment sur un domaine spectral donné. La première concerne les matériaux activés aux ions de terres rares alors que la deuxième utilise des matériaux dopés activés par des centres colorés ou des ions des éléments de transition. Cette variété de matériaux a donné lieu bien évidemment à plusieurs applications des lasers [3,4] aussi bien dans le domaine spectral visible, infrarouge ou encore UV de telle sorte qu'on compare actuellement l'évolution du marché des lasers à celui de l'informatique. Il va sans dire que les lasers font aujourd'hui partie intégrante de notre environnement quotidien.</w:t>
        <w:br/>
        <w:br/>
        <w:t>Ainsi, les recherches dans ce domaine n'ont pas cessé de se multiplier. L'étendue des applications des lasers dans domaines aussi diverses que la médecine, l'industrie, l'instrumentation scientifique et même la vie quotidienne requiert des sources de longueurs d'ondes variées. Sur le plan de la recherche des matériaux lasers solides, on veut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