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caractérisation des poudres nanostructurées de FeNi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Djekoun; Abdelmalik/ Université Badji Mokhtar/ Bouzabata, Bouguerra/ </w:t>
            </w:r>
          </w:p>
        </w:tc>
      </w:tr>
      <w:tr>
        <w:trPr>
          <w:trHeight w:val="567"/>
        </w:trPr>
        <w:tc>
          <w:tcPr>
            <w:tcW w:type="dxa" w:w="3000"/>
          </w:tcPr>
          <w:p>
            <w:r>
              <w:t>Nombre de Pages</w:t>
            </w:r>
          </w:p>
        </w:tc>
        <w:tc>
          <w:tcPr>
            <w:tcW w:type="dxa" w:w="7000"/>
          </w:tcPr>
          <w:p>
            <w:r>
              <w:t>176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matériaux nanostructurés/ grains/ </w:t>
            </w:r>
          </w:p>
        </w:tc>
      </w:tr>
    </w:tbl>
    <w:p>
      <w:pPr>
        <w:pStyle w:val="Heading3"/>
      </w:pPr>
      <w:r>
        <w:t>Résumé :</w:t>
      </w:r>
    </w:p>
    <w:p>
      <w:r>
        <w:t>Les materiaux nanosructurés constituent une nouvelle classe de matériaux qui présente non seulement des défis sur le plan fondamental mais qui offre également la perspective de réaliser des matériaux aux propriétes contrôlables et trés souvent extrêmement attrayantes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