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énantiosélective d'alcools chiraux par biocatalyse et catalyse organométallique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Razi; Samra/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 organométallique/ carotte/ radis/ </w:t>
            </w:r>
          </w:p>
        </w:tc>
      </w:tr>
    </w:tbl>
    <w:p>
      <w:pPr>
        <w:pStyle w:val="Heading3"/>
      </w:pPr>
      <w:r>
        <w:t>Résumé :</w:t>
      </w:r>
    </w:p>
    <w:p>
      <w:r>
        <w:t>Ce travail de recherche vise à la production de molécules optiquement actives par des processus de synthèse sélectifs en utilisant des outils et des méthodologies et de concepts éco-compatibles. Il a permis d'accéder aux briques moléculaires chirales par voie cataltique avec divers types de catalyseurs accessibles, efficaces et peux couteux.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