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des activités anti-inflammatoires et antidiabétiques de la camomille romaine chamaemelum nobile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Zadam; Mostapha Hichem/ Boumendjel, Mahieddine/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antioxidant/ camomille romaine/ anti-inflammatoire/ </w:t>
            </w:r>
          </w:p>
        </w:tc>
      </w:tr>
    </w:tbl>
    <w:p>
      <w:pPr>
        <w:pStyle w:val="Heading3"/>
      </w:pPr>
      <w:r>
        <w:t>Résumé :</w:t>
      </w:r>
    </w:p>
    <w:p>
      <w:r>
        <w:t>Ce travail a pour but d’étudier l'effet anti-inflammatoire, antioxydant et antidiabétique de l’extrait aqueux de Chamaemelum nobile, dans un modèle de rat wistar en utilisant 2 protocoles (protocole asthme expérimental, protocole diabète xpérimental) l’extrait de la camomille romaine a été utilisé contre une inflammation bronchique induite expérimentalement par un allergène l’ovalbumine à raison de 10 ug  (Ova) adsorbée sur 1 mg d'hydroxyde d'aluminium administré par voie intra-péritonéale et inhalé par voie intra-nasale (aérosol) et un diabète expérimental provoqué  à raison de 150 mg d’alloxane  injecté par voie intra-péritonéale à des rats mâles de la souche Wistar. Dans un premier temps, et afin de mesurer l’intensité de l’inflammation bronchique, les taux en interleukine-4, et en protéines totales dans le sérum, le liquide du lavage broncho-alvéolaire (LBA) et les poumons ont été mesurés. Par la suite, les paramètres du stress oxydant sont analysés dans les érythrocytes, les poumons. De plus, le dosage des paramètres biochimiques, pour l’exploration fonctionnelle hépatique et rénale, a été effectué. Enfin, une étude histopathologie des poumons, à été réalisée. Nos résultats ont montré des perturbations biochimique au niveau du liquide broncho-alvéolaire (LBA) tel que l’augmentation des taux de leucocytes et de lymphocytes dans le sang et dans le liquide LBA associé à une forte peroxydation lipidique. Ces perturbations du système de défense antioxydant enzymatique (superoxyde dismutase, catalase, glutathion peroxydase, glutathion-S-transférases) et non enzymatique (glutathion) et les changements histopathologies ont montré un infiltrat inflammatoire lymphoplasmocytaire, un oedème modéré des alvéoles, une congestion vasculaire, et une suffusion hémorragie confirmant la présence d’un état inflammatoire. L’administration  de l’extrait aqueux de la camomille romaine (20mg/kg/jours) à des rats sensibilisés à l’OVA a provoqué une amélioration  significative et très hautement significative  des niveaux de MDA dans les poumons et dans les érythrocytes respectivement avec une amélioration des taux de GSH,GPx,GST,catalase et SOD , ainsi qu’une réduction de l'infiltration cellulaire inflammatoire, une discrète dilatation des bronchioles avec un discret  oedème  des alvéoles et une morphologie des cellules normales.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