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par fusion haute fréquence et caractérisation microstructurale d’alliages binaires Al-Cu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Boukhris; Nourredine / Debili, Mohamed Yacine/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microscopie électronique/ aluminium cuivre/ </w:t>
            </w:r>
          </w:p>
        </w:tc>
      </w:tr>
    </w:tbl>
    <w:p>
      <w:pPr>
        <w:pStyle w:val="Heading3"/>
      </w:pPr>
      <w:r>
        <w:t>Résumé :</w:t>
      </w:r>
    </w:p>
    <w:p>
      <w:r>
        <w:t>Les matériaux étudiés sont des alliages binaires Aluminium Cuivre (10at% à</w:t>
        <w:br/>
        <w:br/>
        <w:t>90.3at%Cu) produits par fusion haute fréquence. La microstructure qui en</w:t>
        <w:br/>
        <w:br/>
        <w:t>résulte a été observée par des méthodes métallographiques standard, diffraction</w:t>
        <w:br/>
        <w:br/>
        <w:t>des rayons-x, ainsi que par microscopie électronique à balayage.</w:t>
        <w:br/>
        <w:br/>
        <w:t>La microdureté Vickers des alliages massifs atteint un maximum de</w:t>
        <w:br/>
        <w:br/>
        <w:t>18000MPA .Une phase métastable inattendue (phase thêta’) a été observée à</w:t>
        <w:br/>
        <w:br/>
        <w:t>l’intérieur des grains dans l’alliage Al-37%atCu. Un modèle cristallographique</w:t>
        <w:br/>
        <w:br/>
        <w:t>de passage de la maille CFC de l’aluminium à celle tetragonale bases centrées</w:t>
        <w:br/>
        <w:br/>
        <w:t>de la phase métastable thêta’, mettant en jeu les dislocations a été proposé et qui</w:t>
        <w:br/>
        <w:br/>
        <w:t>semble très proche de la réalité.</w:t>
        <w:br/>
        <w:br/>
        <w:t>La microdureté croit régulièrement et la taille de grain decroit avec la teneur en</w:t>
        <w:br/>
        <w:br/>
        <w:t>cuivre. Ce phénomène de durcissement significatif de l’aluminium par ajout de</w:t>
        <w:br/>
        <w:br/>
        <w:t>cuivre est du à une combinaison entre l’effet de solution solide, de taille de grain</w:t>
        <w:br/>
        <w:br/>
        <w:t>et de zones de Guinier-Preston(ZGP)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