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aspects pharmaco-toxicologiques et comportementaux de la plante Peganum harmala chez des rats Wistar traité à la Camomille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 Youcef Islam/ Université Badji Mokhtar/ Chouba, Ibtissem/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parametres biochimiques/ matricaria chamomilla/ éxtrait éthanolique/ </w:t>
            </w:r>
          </w:p>
        </w:tc>
      </w:tr>
    </w:tbl>
    <w:p>
      <w:pPr>
        <w:pStyle w:val="Heading3"/>
      </w:pPr>
      <w:r>
        <w:t>Résumé :</w:t>
      </w:r>
    </w:p>
    <w:p>
      <w:r>
        <w:t xml:space="preserve">Cette étude porte sur les effets de l'harmine (H), un alcaloïde dérivé de la plante Peganum harmala connu pour ses effets nocifs sur le foie, les reins et le cerveau des rats, ainsi que sur le stress oxydatif. L'étude examine les avantages préventifs de l'utilisation de l'extrait éthanolique de Matricaria chamomilla (EEC). Six groupes (n = 8) de rats ont été créés. Le groupe 1 (contrôle) ; le groupe 2 a reçu une seule injection de H (40 mg/kg) ; le groupe 3 a reçu de l'EEC (200 mg/kg) ; le groupe 4 a reçu de l'EEC (500 mg/kg) ; les groupes 5 et 6 ont reçu une injection de H (40 mg/kg) avec l’administration de l'EEC (200 mg/kg) ou (500 mg/kg) pendant 21 jours ; tous les groupes ont été soumis à un stress par le biais d'un test de nage forcée. </w:t>
        <w:br/>
        <w:br/>
        <w:t xml:space="preserve">Les résultats de l'étude ont révélé que l'exposition à l'Harmine (H) a induit un comportement anxieux chez les rats, accompagné d'une prise de poids notable ainsi que d'une augmentation de la taille du foie et des reins. De plus, cette exposition a provoqué une légère hausse des niveaux sériques de cholestérol total, et une augmentation significative des niveaux de malondialdéhyde (MDA), indiquant un stress oxydatif accru. On a également observé une diminution marquée de la capacité antioxydante totale dans le foie, les reins et le cerveau, illustrée par la réduction des niveaux d'enzymes antioxydantes telles que la glutathion peroxydase (GPx) et la glutathion S-transférase (GST), ainsi que de la concentration en glutathion réduit (GSH). En outre, une inhibition de l'activité de l'acétylcholinestérase (AChE) a été notée.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