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films de passivité formés en condition de polarisation sur des aciers inoxydables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Med adel/ Université Badji Mokhtar/ Chater, 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acier inoxydable/ film de passivité/ </w:t>
            </w:r>
          </w:p>
        </w:tc>
      </w:tr>
    </w:tbl>
    <w:p>
      <w:pPr>
        <w:pStyle w:val="Heading3"/>
      </w:pPr>
      <w:r>
        <w:t>Résumé :</w:t>
      </w:r>
    </w:p>
    <w:p>
      <w:r>
        <w:t>Les aciers inoxydables sont largement utilisés dans la pratique industrielle; ils doivent leur grande résistance à la corrosion à un film d'oxydes protecteur qui se développe à la surface de l'acier. Ces films d'oxydes ont fait l'objet de plusieurs travaux et leur étude est toujours d'actualité.</w:t>
        <w:br/>
        <w:br/>
        <w:t>Dans ce travail, nous effectuons une étude comparative du temps de formation et de la croissance du film passif formé sous polarisation dans le domaine de passivité de deux nuances d'aciers inoxydables à 13 et 24 % de chrome en utilisant la spectroscopie électrochimique d'impédance. Cette étude est complétée par l'analyse chimique des ions passés dans le milieu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