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 l'ancrage de la conduite sur la variation de la pression et des contraintes lors de l'écoulement transitoire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Noureddine/ Djemili, Abdelouaheb/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ancrage/ Différences finies/ coup de bélier/ ecoulement transitoire/ méthode des caractéristiques/ </w:t>
            </w:r>
          </w:p>
        </w:tc>
      </w:tr>
    </w:tbl>
    <w:p>
      <w:pPr>
        <w:pStyle w:val="Heading3"/>
      </w:pPr>
      <w:r>
        <w:t>Résumé :</w:t>
      </w:r>
    </w:p>
    <w:p>
      <w:r>
        <w:t>Le but de cette étude est de montrer l'influence du système d'ancrage au niveau des jonctions (coude, vanne, ect .…) sur la valeur de la surpression et du niveau des contraintes correspondantes. l'application des lois de conservation de la masse, de la quantité de mouvement et de l'énergie pour un écoulement transitoire en conduite, nous conduit à un système d'équations différentielles aux dérivées partielles du type hyperbolique. ce système d'équation prend en compte l'interaction fluide-conduite, le mouvement de la conduite (déformation), ainsi que les vibrations mécaniques au niveau des jonctions (coude, vanne).la contrainte tangentielle de viscosité dans le terme de frottement à été représentée par un modèle de brunone [15]. la résolution de ce système d'équations se fait par la méthode des caractéristiques couplée avec les différences finies .le modèle proposé a été tester par une comparaison avec les résultats de ahmadi et al [27] validés avec ceux de heinsbroek.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