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physic-chimique du kaolin et rétention de substances organiques et inorganiques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Hezil; Nawel/ Guerfi, 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caractérisation/  hétérogénéité/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la caractérisation structurale et texturale d'un kaolin de l'est algérien et son utilisation pour  adsorption des molécules sondes (tensioactifs) en phase aqueuse et/ou huileuse. L'étude de l'adsorption de tensioactifs ioniques (BDDAB, SDS)  en phase aqueuse, nous a permis de comprendre d'une part  le mécanisme d'adsorption de ces molécules et d'autre part faire une étude estimative sur la répartition hydrophile / hydrophobe de la surface du kaolin.</w:t>
        <w:br/>
        <w:br/>
        <w:t>Les résultats d'adsorption dans la phase huile (heptane, cyclohexane) de tensioactif non-ionique (TX-100) sur le kaolin ont montré que l'adsorption dépend de la polarité et la solubilisation du solvant. La présence d'eau  dans ce système a diminué la quantité adsorbée. Les mêmes résultats ont été constatés pour l'influence de la température. Le traitement du kaolin naturel par intercalation par tensioactif cationique (CTAB), a augmenté sa surface spécifique de 18%. Par conséquent son pouvoir sorptinnel a augmenté, ce qui a été constaté lors d'une étude comparative de l'adsorption du Cr (VI) sur le kaolin naturel et /ou modifié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