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aéropalynologique de la cité larbi ben m'hidi skikda et réalisation d'une palynothèque et d'un inventaire des pollens allergisants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Sakhraoui; Nora/ Université Badji Mokhtar/ Boughediri, L/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pollens allergisants/ palynothèque/ </w:t>
            </w:r>
          </w:p>
        </w:tc>
      </w:tr>
    </w:tbl>
    <w:p>
      <w:pPr>
        <w:pStyle w:val="Heading3"/>
      </w:pPr>
      <w:r>
        <w:t>Résumé :</w:t>
      </w:r>
    </w:p>
    <w:p>
      <w:r>
        <w:t xml:space="preserve">L'objet de ce travail est composé de deux parties la connaissance de certains paramètres morphologiques de quelques grains de pollen allergisants en vue de la réalisation d'un inventaire pollinique et en parallèle la constitution d'une palynothèque des principales espèces composantes de la végétation locale. nous avons pour cela collecter sur lames de référence 100 espèces appartenant à 46 familles végétales, parmi les quelles nous avons choisi 52 espèces, connues pour leur allergénicité appartenant à 18 familles, pour en étudier les paramètres morphologiques polliniques (forme, taille, existence d'apertures, ornementation de l'exine). la grande partie des pollens étudiés ont des caractéristiques du pollen des plantes anémophiles (forme sphéroïdale, taille relativement faible, exine lisse ou à éléments structuraux fins).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