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d'amines, d'esters et d'ethers sous les conditions de la reaction de mitsunobu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Guezane Lakoud; Samia/ Université Badji Mokhtar/ Djerourou, A/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réaction de mitsunobu/ ester/ </w:t>
            </w:r>
          </w:p>
        </w:tc>
      </w:tr>
    </w:tbl>
    <w:p>
      <w:pPr>
        <w:pStyle w:val="Heading3"/>
      </w:pPr>
      <w:r>
        <w:t>Résumé :</w:t>
      </w:r>
    </w:p>
    <w:p>
      <w:r>
        <w:t>Des éthers et des esters diversement substitués ont pu être synthétisés à partir de divers alcools. Une étude sur les caractéristiques de la réaction de Mitsunobu, notamment stéréochimie, nous a permis de confirmer le mécanisme proposé pour cette réaction, et qui est un mécanisme de type SN2, mécanisme que nous détaillé au cours de notre étude bibliographiqueLe choix des alcools secondaires particulièrement ceux ayant une activité optique nous a permis de contrôler la pureté de l'inversion de la configuration stéréochimique lors du processus réactionnel de substitution nucléophile de type SN2.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