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polltion fluoree sur la germination et la croissance de trois graminees fourrageres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Soraya/ Semadi, 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chlorophylle/ germination/ pollution fluorée/ croissance/ graminée fourragère/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effets de fluorures naf sur trois graminées fourragères locales lolium multiforum lank . festuca elatior  et phalaris nodosa l. ont été analysés aux concentrations les résultats obtenus montrent une réelle sensibilité de la germination à la pollution fluorée . en effet, l'application de doses croissantes en fluorures diminuent considérablement la faculté et l'énergie germinative l'inhibition du processus de germination est totale chez les trois espèces . par ailleurs, on note que le fluor a affecté sensiblement la croissance de la fétuque . par contre, il a exercé un effet favorable sur celle du ray-grass et de l'alpiste . cette stimulation de la croissance est expliquée comme étant une élévation de l'activité respiratoire . signalons toute fois qu'il n'éxiste pas de différence significative entre les traitements du point de vue statistique . les dosages biochimiques ont montré également que le fluor a nettement perturbé les voies de biosynthèse des pigments photorécepteurs et sucres .enfin, on peut conclure que la réponse de ces écotypes à la pollution fluorée est différente et variable selon l'espèce. d'une manière générale, ces graminées fourragères utilisées, se révèlent relativement résistantes à ce type de pollution 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