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la polltion fluoree sur la germination et la croissance de trois graminees fourrageres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Slimani; Soraya/ Semadi, 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chlorophylle/ germination/ pollution fluorée/ croissance/ graminée fourragère/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effets de fluorures naf sur trois graminées fourragères locales lolium multiforum lank . festuca elatior  et phalaris nodosa l. ont été analysés aux concentrations les résultats obtenus montrent une réelle sensibilité de la germination à la pollution fluorée . en effet, l'application de doses croissantes en fluorures diminuent considérablement la faculté et l'énergie germinative l'inhibition du processus de germination est totale chez les trois espèces . par ailleurs, on note que le fluor a affecté sensiblement la croissance de la fétuque . par contre, il a exercé un effet favorable sur celle du ray-grass et de l'alpiste . cette stimulation de la croissance est expliquée comme étant une élévation de l'activité respiratoire . signalons toute fois qu'il n'éxiste pas de différence significative entre les traitements du point de vue statistique . les dosages biochimiques ont montré également que le fluor a nettement perturbé les voies de biosynthèse des pigments photorécepteurs et sucres .enfin, on peut conclure que la réponse de ces écotypes à la pollution fluorée est différente et variable selon l'espèce. d'une manière générale, ces graminées fourragères utilisées, se révèlent relativement résistantes à ce type de pollution 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