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des combinaisons de métaux lourds sur la germination du blé dur triticum durum DESF etude du métabolisme respiratoire des racines isolées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Labiba/ Djebar, M/ Université Badji Mokhtar/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cadmium/ zinc/ </w:t>
            </w:r>
          </w:p>
        </w:tc>
      </w:tr>
    </w:tbl>
    <w:p>
      <w:pPr>
        <w:pStyle w:val="Heading3"/>
      </w:pPr>
      <w:r>
        <w:t>Résumé :</w:t>
      </w:r>
    </w:p>
    <w:p>
      <w:r>
        <w:t xml:space="preserve">Le travail entrepris concerne l'évaluation des effets de certaines combinaisons de métaux lourds sur le processus de germination et le métabolisme respiratoire des racines isolées à partir de graines de blé dur. parallèlement nous avons tenté d'examiner à la lumière des données récentes le rôle joué par le calcium et le phosphore chez les racines isolées des graines soumises au traitemen,t combiné par le cd'etlezn. les résultats obtenus montrent que le cadmium provoque une forte inhibition de la germination suivi par une perturbation très importante du métabolisme respiratoire des racines isolées des graines soumises au cadmium. il en est de même pour les racines isolées traitées avec du zinc. le traitement combiné cadmium zinc in,hibe totalement le métabolisme respiratoire.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