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performance des matériaux composites sandwichs application en fatigue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Chemami; Abdenacer/ Université Badji Mokhtar/ Bey, mca/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endommagement/ fatigue/ durée de vie/ </w:t>
            </w:r>
          </w:p>
        </w:tc>
      </w:tr>
    </w:tbl>
    <w:p>
      <w:pPr>
        <w:pStyle w:val="Heading3"/>
      </w:pPr>
      <w:r>
        <w:t>Résumé :</w:t>
      </w:r>
    </w:p>
    <w:p>
      <w:r>
        <w:t>Le probléme des composants supportant des charges réside principalement dans les phénomènes de flambage fragilisation et corrosion ii peut etre résolu par l'introduction des matériaux composites de type sandwich qui allient rigidité légèreté et résistance a la corrosion d'ou la résistance a la fatigue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