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nouveaux composés organiques à intérêt biologique à base de thiazole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Litim,Bilal/ Université Badji Mokhtar/ Boukhari,Abbes/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 ionique/ quinoléine/ </w:t>
            </w:r>
          </w:p>
        </w:tc>
      </w:tr>
    </w:tbl>
    <w:p>
      <w:pPr>
        <w:pStyle w:val="Heading3"/>
      </w:pPr>
      <w:r>
        <w:t>Résumé :</w:t>
      </w:r>
    </w:p>
    <w:p>
      <w:r>
        <w:t>Le travail de thèse présenté dans ce manuscrit est constitué de deux parties:</w:t>
        <w:br/>
        <w:br/>
        <w:t>Dans la première, afin de développer de nouveaux agents antimicrobiens, nous avons</w:t>
        <w:br/>
        <w:br/>
        <w:t>rapporté une nouvelle série de dérivés a-amino-phosphonates IVa–m, ayant un</w:t>
        <w:br/>
        <w:br/>
        <w:t>important pharmacophore en l’occurrence le coumarylthiazole. Tous les nouveaux</w:t>
        <w:br/>
        <w:br/>
        <w:t>dérivés ont été synthétisés via la réaction de Kabachnik-Fields en présence d’un</w:t>
        <w:br/>
        <w:br/>
        <w:t>liquide ionique et sous irradiation ultrasonique. Ces produits ont été obtenus avec de</w:t>
        <w:br/>
        <w:br/>
        <w:t>bons rendements dans des conditions optimales et ont été confirmés par diverses</w:t>
        <w:br/>
        <w:br/>
        <w:t>méthodes spectroscopiques. Tous ces composés IVa–m ont été évalués pour leur</w:t>
        <w:br/>
        <w:br/>
        <w:t>activité antimicrobienne. Les résultats ont révélé que tous ces composés présentent</w:t>
        <w:br/>
        <w:br/>
        <w:t>des activités antimicrobiennes modérées contre les souches microbiennes testés. Le</w:t>
        <w:br/>
        <w:br/>
        <w:t>composé IVe a montré des activités plus élevées contre tous les agents pathogènes des</w:t>
        <w:br/>
        <w:br/>
        <w:t>souches microbiennes testées avec une valeur de CMI de 0,125 g/mL. Les composés</w:t>
        <w:br/>
        <w:br/>
        <w:t>IVh, IVf, IVb et IVd ont présenté respectivement des activités modérées et</w:t>
        <w:br/>
        <w:br/>
        <w:t>prometteuses avec une CMI de 0,125 g/mL. La relation structure-activité a révélé que</w:t>
        <w:br/>
        <w:br/>
        <w:t>l'activité inhibitrice des composés synthétisés est liée au type de groupe substitué sur</w:t>
        <w:br/>
        <w:br/>
        <w:t>les cycles phényliques. Ces résultats ont montré que les groupes donneurs d'électrons</w:t>
        <w:br/>
        <w:br/>
        <w:t>en position ortho ou para augmentent les activités antimicrobiennes par rapport aux</w:t>
        <w:br/>
        <w:br/>
        <w:t>groupements électroattracteurs.</w:t>
        <w:br/>
        <w:br/>
        <w:t>Dans la deuxième partie, étant donné l’importance pharmacologique prouvée, de la</w:t>
        <w:br/>
        <w:br/>
        <w:t>quinoléine et du thiazole substitué ; une série de nouveaux dérivés d’a-aminophosphonates 9a–h et 10i–l incorporant la quinoléine ou la quinolone, le coumarylthiazole ou le 5-phényl-thiazole a été conçue via la réaction de Kabachnik-Fields.</w:t>
        <w:br/>
        <w:br/>
        <w:t>L'activité antimicrobienne in vitro a été évaluée contre diverses souches microbiennes</w:t>
        <w:br/>
        <w:br/>
        <w:t>dûment sélectionnées. Les résultats ont montré que la plupart des produits testés</w:t>
        <w:br/>
        <w:br/>
        <w:t>présentent des activités inhibitrices modérées. Les composés suivants 9e, 9g, 9h, 9i et</w:t>
        <w:br/>
        <w:br/>
        <w:t>9f, 9g, 9h, 10k, 10i sont respectivement les plus actifs contre les souches bactériennes à</w:t>
        <w:br/>
        <w:br/>
        <w:t>Gram-positif et à Gram-négatif, avec des valeurs de CMI comprises entre 0,25 et 128</w:t>
        <w:br/>
        <w:br/>
        <w:t xml:space="preserve">µg/mL.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