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computationnelle de l'effet du solvant sur le mecanisme et la selectivite des reactions de cycloaddition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Nasri; Lilia/ Khorief,  Abdelmalek Nacereddine/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azométhine/ pyrrolidine/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travail, une étude computationnelle au niveau théorique MPWB1K/6-31G(d) du</w:t>
        <w:br/>
        <w:br/>
        <w:t>mécanisme, de la sélectivité et de l’effet du solvant a été effectuée sur des réactions de cycloaddition</w:t>
        <w:br/>
        <w:br/>
        <w:t>dipolaire-1,3 aboutissant aux composés hétérocycliques chirals biologiquement actifs de type</w:t>
        <w:br/>
        <w:br/>
        <w:t>pyrrolidines et pyrazolidines.</w:t>
        <w:br/>
        <w:br/>
        <w:t>Cette étude indique que la réaction entre l’ylure d’azométhine et le 2-nitrostyrène formant le pyrrolidine</w:t>
        <w:br/>
        <w:br/>
        <w:t>possède une énergie d’activation faible favorisant l’approche méta-endo et caractérisée par un</w:t>
        <w:br/>
        <w:br/>
        <w:t>mécanisme polaire qui se déroule en une seule étape en deux paliers. La réaction entre l’imine</w:t>
        <w:br/>
        <w:br/>
        <w:t>d’azométhine et le p-nitro-benzylidene-malono-nitrile donnant la pyrazolidine possède également une</w:t>
        <w:br/>
        <w:br/>
        <w:t>énergie d’activation faible donnant lieu à la formation du produit issu de l’approche méta-exo et se</w:t>
        <w:br/>
        <w:br/>
        <w:t>procède selon un mécanisme polaire en une seule étape et en deux paliers. Le solvant augmente</w:t>
        <w:br/>
        <w:br/>
        <w:t>légèrement les énergies d’activation, mais ne change pas la sélectivité. La présence des interactions non</w:t>
        <w:br/>
        <w:br/>
        <w:t>covalentes est la raison principale de la stéréosélectivité de ces réactions. Les résultats obtenus sont en</w:t>
        <w:br/>
        <w:br/>
        <w:t>accord avec les donnéées expéerimentales.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