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Attribution, Prédiction et analyse des spectres des molécules 15NH2D et 15ND2H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Elkeurti; Mohamed/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haute résolution/ mouvement de grande amplitude/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thèse, on a procédé à une étude théorique des spectres d’absorption haute</w:t>
        <w:br/>
        <w:br/>
        <w:t>résolution des molécules non-rigides 15NH2D, 15ND2H . Les deux molécules, leurs spectres</w:t>
        <w:br/>
        <w:br/>
        <w:t>de rotation-inversion et de vibration-rotation-inversion ont été analysés et environ 700</w:t>
        <w:br/>
        <w:br/>
        <w:t>transitions ont été attribuées pour chaque molécule. L’analyse de ces données a conduit</w:t>
        <w:br/>
        <w:br/>
        <w:t>à la détermination des dédoublements d’inversion, des constantes rotationnelles et des</w:t>
        <w:br/>
        <w:br/>
        <w:t>paramètres relatifs à l’interaction rotation-inversion. Pour ces deux molécules, nous avons</w:t>
        <w:br/>
        <w:br/>
        <w:t>construit des bases de données spectroscopiques à usage astrophysique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