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Etat sanitaire des forêts de la région semi-aride de djelfa : biodiversité de l'entomofaune, caractérisation des principaux ravageurs et essais de lutte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badji-mokhtar/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 Résemé en francais,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climat semi-aride/ Pin d’Alep/ entomofaune/ bio-insecticide/ </w:t>
            </w:r>
          </w:p>
        </w:tc>
      </w:tr>
    </w:tbl>
    <w:p>
      <w:pPr>
        <w:pStyle w:val="Heading3"/>
      </w:pPr>
      <w:r>
        <w:t>Résumé :</w:t>
      </w:r>
    </w:p>
    <w:p>
      <w:r>
        <w:t>Le pin d'alep (pinus halepensis mill.) et le chêne vert (quecus ilex subsp. rotundifolia lam.) constituent les principales essences forestières dans la région de la bordure sud de la méditerranée (atlas saharien-algérie). dans ce sens, notre étude s'est fixé pour objectif d'évaluer l'état de santé du peuplement naturel de trois forêts dégradées dans la région de djelfa (senalba chergui et gharbi, djellal chergui) durant trois années (2012, 2013 et 2015).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