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substances actives les flavonoïdes  et action antibactérienne d'une fabacée à intérêt médicinal  medicago sativa L. cultivée sur des sols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Messioughi; Amel/ Université Badji Mokhtar/ Djamai, 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flavonoides/ effet antibactérien/ sol/ luzerne/ décoction/ </w:t>
            </w:r>
          </w:p>
        </w:tc>
      </w:tr>
    </w:tbl>
    <w:p>
      <w:pPr>
        <w:pStyle w:val="Heading3"/>
      </w:pPr>
      <w:r>
        <w:t>Résumé :</w:t>
      </w:r>
    </w:p>
    <w:p>
      <w:r>
        <w:t xml:space="preserve">L'objectif de cette étude est de comparer les rendements et la composition chimique des flavonoïdes isolés des feuilles de " medicago sativa " prélevées sur quatre stations différentes dans les régions d'annaba et d'el tarf. l'effet antibactérien de l'extrait flavonoique ainsi que celui de la décoction des feuilles de " medicago stiva " ont été également analysés sur plusieurs souches bactériennes du groupe gram+ et gram- . les résultats des analyses effectuées montrent que les caractéristiques physico-chimiques des sols influencent les rendements et l'aspect chimique des flavonoïdes. la chromatographie sur couche mince (ccm) a permis d'identifier dans les extraits, des composés tels que les flavones, les flavonols et les anthocyanes qui varient avec les types du sol. l'activité antibactérienne étudiée sur douze souches bactériennes montre qu'il existe une sensibilité importante de la majorité des souches à nos produits.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