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Adaptation du blé dur triticum durum desf dans les conditions des hautes plaines constantinoises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Morsli; Lakhdar/ Brinis, Louhichi/ Université Badji Mokhtar/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rendement/ stress hydrique/ sécheresse/ blé/ tolerance/ </w:t>
            </w:r>
          </w:p>
        </w:tc>
      </w:tr>
    </w:tbl>
    <w:p>
      <w:pPr>
        <w:pStyle w:val="Heading3"/>
      </w:pPr>
      <w:r>
        <w:t>Résumé :</w:t>
      </w:r>
    </w:p>
    <w:p>
      <w:r>
        <w:t xml:space="preserve">La production du blé dur dans le constantinois à l'instar des autres régions céréalières est pénalisée par la sécheresse et notamment celle sévissant en fin de cycle végétatif. partant de ce constat, nous nous sommes attelés dans le cadre d'un essai agronomique mené sur deux campagnes agricoles et deux sites expérimentaux à évaluer les performances et la stabilité des rendements en grains de huit génotypes issus d'une sélection réalisée par l'itgc d'el khroub. conjointement à ce travail de terrain, des analyses au laboratoire ont été réalisées en vue d'identifier chez ces variétés les mécanismes morpho-physiologiques mis en œuvre face au déficit hydrique à même d'expliquer et de conforter en grande partie les résultats agronomiques. c'est ainsi que l'examen de ces derniers montre l'existence de trois groupes de génotypes : un premier groupe, constitué des variétés deraa, mbb/lans et waha doivent leurs bonnes performances agronomiques quelque soit l'année ou le site à un statut hydrique à travers une tre plus ou moins élevée et d'une accumulation de proline ou d'une accommodation morphologique et de proline. le second groupe représenté par les variétés ada/dui/simeto, ada/pri/ofanto ne semblent productives qu'en conditions climatiques favorables et chez lesquelles il existe un ajustement osmotique maintenant des tre élevées. en revanche chez hebda//awl2/bit et m1084 quant - à- elles, semblent tirer profit d'un surcoût énergétique. le troisième groupe, représenté par la variété hoggar maintiendrait des rendements acceptables en raison à la fois de sa relative tardivité et de sa tendance à accumuler et de la proline et des pigments chlorophylliens. a l'issue de ce travail et au vu du rôle joué par l'ajustement osmotique dans la réalisation des bonnes performances agronomiques, il serait judicieux d'accorder plus de " poids " à ce paramètre dans le criblage des génotypes adaptés à la sécheresse. il demeure entendu que de nouvelles recherches doivent être consacrées à cet aspect et chez les variétés les plus en vue afin de valider les résultats de cette étude.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