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entre deux varietes de tomate industrielles rio grande et l'xp671 en fonction des conditions du milieu dans les regions d'el karma et el kous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Sbartai; Hana/ Semadi, Amar/ Université Badji Mokhtar/ </w:t>
            </w:r>
          </w:p>
        </w:tc>
      </w:tr>
      <w:tr>
        <w:trPr>
          <w:trHeight w:val="567"/>
        </w:trPr>
        <w:tc>
          <w:tcPr>
            <w:tcW w:type="dxa" w:w="3000"/>
          </w:tcPr>
          <w:p>
            <w:r>
              <w:t>Nombre de Pages</w:t>
            </w:r>
          </w:p>
        </w:tc>
        <w:tc>
          <w:tcPr>
            <w:tcW w:type="dxa" w:w="7000"/>
          </w:tcPr>
          <w:p>
            <w:r>
              <w:t xml:space="preserve"> 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respiration/ chlorophylles/ photosynthèse/ cadmium/ protéine/ calcium/ </w:t>
            </w:r>
          </w:p>
        </w:tc>
      </w:tr>
    </w:tbl>
    <w:p>
      <w:pPr>
        <w:pStyle w:val="Heading3"/>
      </w:pPr>
      <w:r>
        <w:t>Résumé :</w:t>
      </w:r>
    </w:p>
    <w:p>
      <w:r>
        <w:t>Des plants de tomate (lycopersicon esculentum) préalablement cultivés sur une solution nutritive de base pendant 12 jours subissent un traitement par des concentrations croissantes en cdcl2 pendant 07 jours. les résultats obtenus ont montré que l'activité enzymatique (gst, cat, apx, gpx) subit des variations dés l'induction du traitement (cd) c'est à dire après 1h d'application jusqu'à fin du traitement mais cette fluctuation reste régressive en fonction du temps et les différentes concentrations du métal alors que l'activité apx, gpx augmente pour les valeurs inférieur à 100?m et au delà de cette dernière ces activités chute progressivement avec la concentration du métal. la même chose a été observée dans l'étude des métabolismes respiratoires et photosynthétiques. entre autre, l'addition de 1mm de cacl2 dans le milieu améliore la quantité de protéine qui régresse légèrement en fonction des deux premières concentrations (cd1 et cd2) et par conséquent la gsh et la gst. alors que pour les doses cd3 et cd4, l'ajout de1mm de cacl2 accentue le stress oxydatif et ceci est explique par une augmentation importante de protéines, et la diminution de la quantité de gsh et gst dans les racines de la plante. des résultats similaires ont été observés pour l'activité apx, gpx, et cat. l'ensemble de ces données suggère que l'incidence négative du cadmium sur les différents métabolismes peut être atténuée par un apport adéquat en calcium dans le milieu de culture. en parallèle, une étude agronomique a été réalisée en plein champ dans la région d'el kous (el-tarf) afin de démontrer l'effet du cadmium et de son interaction avec le calcium sur les paramètres de croissance, de qualité et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