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mecanique d'un materiau composite epoxyde jute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Far; Sihem/ Redjel, Bachir/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 composite/ comportement mécanique/ epoxyde jute/ </w:t>
            </w:r>
          </w:p>
        </w:tc>
      </w:tr>
    </w:tbl>
    <w:p>
      <w:pPr>
        <w:pStyle w:val="Heading3"/>
      </w:pPr>
      <w:r>
        <w:t>Résumé :</w:t>
      </w:r>
    </w:p>
    <w:p>
      <w:r>
        <w:t>Dans la formulation du thème de ce travail, deux aspects, l'un expérimental et l'autre théorique sont élaborés :</w:t>
        <w:br/>
        <w:br/>
        <w:t>. l'étude expérimentale a pour objet d'analyser le comportement mécanique en statique et en choc d'un matériau composite unidirectionnel. les matériaux utilisés sont des composites constitués d'une résine polyester renforcée des fibres de jute.</w:t>
        <w:br/>
        <w:br/>
        <w:t>cette étude a permis d'étudier principalement l'influence du taux de jute sur les caractéristiques en statique de traction et de flexion, et de déterminer l'énergie de rupture en</w:t>
        <w:br/>
        <w:br/>
        <w:t>choc charpy.</w:t>
        <w:br/>
        <w:br/>
        <w:t>dans le but de mettre en évidence l'effet du pourcentage de jute sur le comportement des composites unidirectionnels, trois taux de jute sont utilisés 40%, soù, 60%.l'application de la loi statistique de weibull, a permis de mieux comprendre la nature de cette variété de</w:t>
        <w:br/>
        <w:br/>
        <w:t>matériaux composites.</w:t>
        <w:br/>
        <w:br/>
        <w:t>pour l'étude du comportement en choc, un taux de 50% de jute a été utilisé. l application de</w:t>
        <w:br/>
        <w:br/>
        <w:t>la la théorie de williams a permis de déterminer le taux de restitution d'énergie en mode i.</w:t>
        <w:br/>
        <w:br/>
        <w:t>. la partie théorique a été consacrée à une synthèse bibliographique sur les composites et les composites à base des fibres végétales. les théories des plis unidirectionnels et leurs mécanismes de rupture avec un aperçu sur la résistance à la fissuration sont mises en</w:t>
        <w:br/>
        <w:br/>
        <w:t>évidence.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