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theorique des oscillations aleatoires stationnaires d'un vehicule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Seghir; Kamel/ Université Badji Mokhtar/ Volkoresov, V /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théorique/ véhicule/ oscillations/ aléatoires stationnaires/ </w:t>
            </w:r>
          </w:p>
        </w:tc>
      </w:tr>
    </w:tbl>
    <w:p>
      <w:pPr>
        <w:pStyle w:val="Heading3"/>
      </w:pPr>
      <w:r>
        <w:t>Résumé :</w:t>
      </w:r>
    </w:p>
    <w:p>
      <w:r>
        <w:t>L'expérience confirme lors de l'étude des systèmes dynamiques que nous sommes confrontés à des situations pour lesquels les lois de déterminiome ne sont plus valables.</w:t>
        <w:br/>
        <w:br/>
        <w:t>la théorie des probabilités et des processus aléatoires qui s'occupe de cette nature de problème est devenu un outil indispensable à l'analyse et au calcul des structures mécaniques.</w:t>
        <w:br/>
        <w:br/>
        <w:t>pour choisir d'une manière rationnelle les paramètres es systèmes dynamiques, il y e lieu d'étudier leur réponse à l'action continue de perturbations aléatoires. : dans ce chapitre sont exposés îles notions fondamentales de ta théorie des probabilités et des processus aléatoires qui sont utilisés par la suite pour étudier la transformation d'une attion aléatoire stationnaire par un système stationnaire linéaire.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