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Proprietés thermodynamiques des substances pures application à l'ethylene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Berrezeg; Amel/ Université Badji Mokhtar/ Abbaci, A/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application à l'ethylene/ </w:t>
            </w:r>
          </w:p>
        </w:tc>
      </w:tr>
    </w:tbl>
    <w:p>
      <w:pPr>
        <w:pStyle w:val="Heading3"/>
      </w:pPr>
      <w:r>
        <w:t>Résumé :</w:t>
      </w:r>
    </w:p>
    <w:p>
      <w:r>
        <w:t>Dans ce travail nous présentons une équation d'état de crossover qui décrit le comportement des propriétés thennodynmniques de l' éthylène au voisinage du point critique, couvrant la partie singulière et s'étalant à la partie classique. Cette équation peut-être généralisée aux n-alcènes et n-alcanes.</w:t>
        <w:br/>
        <w:br/>
        <w:t xml:space="preserve">   Un système de paramètres dépendant de cette substance est obtenu à partir d'un ajustement des données expérimentales P-V-T de P.Nowak et al [62], l'équation unifiée obtenue, nous a permis de déduire les paramètres calorifiques à base d'un ajustement des données expérimentales de la vitesse du son de Gammon [66], et d'obtenir une équation fondamentale</w:t>
        <w:br/>
        <w:br/>
        <w:t xml:space="preserve">   Les paramètres calorifiques déduits nous ont permis de calculer d'autres propriétés themodynamiques telles-que la capacité calorifique à volume constant Cv et la capacité calorifique à pression constante Cp.</w:t>
        <w:br/>
        <w:br/>
        <w:t xml:space="preserve">   Le modèle établis, est testé avec d'autres données expérimentales P V T comme celles de Douslin et al. [66], le résultat est interprété par le traçage d'une courbe, qui révèle une bonne fiabilité de l'équation utilisée.</w:t>
        <w:br/>
        <w:br/>
        <w:t xml:space="preserve">   Enfin pour confinner la fiabilité du modèle, nous l'avons utilisé pour tracer la courbe de coexistence et la comparer avec celles obtenues à partir des données expérimentales.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