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vieillissement sous contrainte d'un alliage ternaire CU. ZN. AL.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Benchiheub; Mostepha/ Lahoubi,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 ternaire / etude du vieillissement / aspects géométriques/ </w:t>
            </w:r>
          </w:p>
        </w:tc>
      </w:tr>
    </w:tbl>
    <w:p>
      <w:pPr>
        <w:pStyle w:val="Heading3"/>
      </w:pPr>
      <w:r>
        <w:t>Résumé :</w:t>
      </w:r>
    </w:p>
    <w:p>
      <w:r>
        <w:t>Les alliages à mémoire de forme de type Cu-Zn-A1 sont connus depuis longtems pour leurs propriétés étonnantes telles que : suprélasticité, simple effet mémoire et effet mémoire double sens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