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Synthese enzymatique de glycosides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Bidjou,Chahra/ Université Badji Mokhtar/ Dejeso, B/ </w:t>
            </w:r>
          </w:p>
        </w:tc>
      </w:tr>
      <w:tr>
        <w:trPr>
          <w:trHeight w:val="567"/>
        </w:trPr>
        <w:tc>
          <w:tcPr>
            <w:tcW w:type="dxa" w:w="3000"/>
          </w:tcPr>
          <w:p>
            <w:r>
              <w:t>Nombre de Pages</w:t>
            </w:r>
          </w:p>
        </w:tc>
        <w:tc>
          <w:tcPr>
            <w:tcW w:type="dxa" w:w="7000"/>
          </w:tcPr>
          <w:p>
            <w:r>
              <w:t>55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enzymatique/ méthyl glycoside/ glucoside/ </w:t>
            </w:r>
          </w:p>
        </w:tc>
      </w:tr>
    </w:tbl>
    <w:p>
      <w:pPr>
        <w:pStyle w:val="Heading3"/>
      </w:pPr>
      <w:r>
        <w:t>Résumé :</w:t>
      </w:r>
    </w:p>
    <w:p>
      <w:r>
        <w:t>l'intérêt de cette étude réside donc ans l'utilisation de conditions expérimentales douces et de catalyseurs non toxiques que sont les enzymes.Les produits ainsi obtenus pourront être utilisés sans risque dans des applications biologiques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