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electronique d'alliages metalliques amorphes et quasi-cristallins. systemes binaires pdy et AlMn.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Meddour, Athmane/ Bonnelle, C/ Université Pierre et marie curie Paris/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atomique/ dosage de cible/ pulvérisation cathodique/ </w:t>
            </w:r>
          </w:p>
        </w:tc>
      </w:tr>
    </w:tbl>
    <w:p>
      <w:pPr>
        <w:pStyle w:val="Heading3"/>
      </w:pPr>
      <w:r>
        <w:t>Résumé :</w:t>
      </w:r>
    </w:p>
    <w:p>
      <w:r>
        <w:t>Notre but était de déterminer les structures électroniques d'alliages amorphes entre métaux de transition (PdY) et d'alliages amorphes et quasi-cristallins (AlMn).</w:t>
        <w:br/>
        <w:br/>
        <w:t>Le premier type d'alliages, ainsi que quelques alliages AlMn, ont été fabriqués par pulvérisation cathodique de cibles composites. D'autres alliages obtenus dans les phases amorphe et quasi-cristalline ont été réalisés soit par mixage ionique, soit par réaction à l'état solide en partant d'un empilement de couches alternées Al/Mn préparées en pulvérisant successivement de l'aluminium et du manganèse.</w:t>
        <w:br/>
        <w:br/>
        <w:t>Les alliages AlMn peuvent être obtenus amorphes monophasés dans un domaine de concentration entre 16 et 20% de Mn par la méthode du mixage ionique. Les alliages PdY, par contre, sont obtenus pour quelques compositions.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