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Prediction de la toxicite d'une serie d'amides herbicides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 Mabrouka/ Université Badji Mokhtar/ Fertikh, N./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toxicité/ herbicide/ </w:t>
            </w:r>
          </w:p>
        </w:tc>
      </w:tr>
    </w:tbl>
    <w:p>
      <w:pPr>
        <w:pStyle w:val="Heading3"/>
      </w:pPr>
      <w:r>
        <w:t>Résumé :</w:t>
      </w:r>
    </w:p>
    <w:p>
      <w:r>
        <w:t>Deux modèles QSAR ont été développés pour la prédiction de la toxicité des amides herbicides carectérisée par la dose letale 50 . Les données, concernant 50 composés amides herbicides ont été séparées en deux sous-ensembles disjoints comprenant respectivement 40 éléments pour le calcul et le test (éventuel) du modèle, et 10 éléments pour sa validation statistique externe. Deux modèles ont ainsi été créés sur le même ensemble de données: un modèle de régression multilinéaire et un modèle de réseaux de neurones artificiels. Des descripteurs moléculaires théoriques ont été calculés en utilisant des logiciels de modélisation moléculaire du commerce. La taille du modèle à été déterminée en optimisant le FIT de KUBINYI, et la sélection des descripteurs réalisée par algorithme génétique. Les valeurs des paramètres statistiques (R², Q², QExt, EQMC, EQMP, EQMP (ext)) obtenues attestent de la pertinence des modèles développés, avec une supériorité établie pour les modèles de neurones artificiels.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