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d'alcools allyliques et benzyliques chiraux dédoublement cinétique de ces alcools par catalyse enzymatique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Bidjou-Haiour Chahra/ Université Badji Mokhtar/ Zouiouche.l/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dédoublement cinétique/ catalyse enzymatique/ </w:t>
            </w:r>
          </w:p>
        </w:tc>
      </w:tr>
    </w:tbl>
    <w:p>
      <w:pPr>
        <w:pStyle w:val="Heading3"/>
      </w:pPr>
      <w:r>
        <w:t>Résumé :</w:t>
      </w:r>
    </w:p>
    <w:p>
      <w:r>
        <w:t>La production de molécules optiquement actives représente un interêt majeur de la recherche fondamentale. Dans le cadre de notre étude , nous nous somme intéresséss à la résolution cinétique enzymatique d'alcools racémiques, d'intérêt potentiel, de diverses chiralités pour accéder aux molécules optiquement pures ou enrichies.Pour cele deux réactions ont été miss en oeuvre: les réactions de transestérification et d'hydrolyse enzymatiques.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