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d'alcools allyliques et benzyliques chiraux dédoublement cinétique de ces alcools par catalyse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Bidjou-Haiour Chahra/ Université Badji Mokhtar/ Zouiouche.l/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cinétique/ catalyse enzymatique/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 molécules optiquement actives représente un interêt majeur de la recherche fondamentale. Dans le cadre de notre étude , nous nous somme intéresséss à la résolution cinétique enzymatique d'alcools racémiques, d'intérêt potentiel, de diverses chiralités pour accéder aux molécules optiquement pures ou enrichies.Pour cele deux réactions ont été miss en oeuvre: les réactions de transestérification et d'hydrolyse enzymatiques.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