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Analyse vibratoire des structures soumises a des charges mobiles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Tekili; Sabiha/ Université Badji Mokhtar/ Rabah, Rehamnia/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Analyse dynamique/ comportement dynamique/ sur la réponse dynamique/ </w:t>
            </w:r>
          </w:p>
        </w:tc>
      </w:tr>
    </w:tbl>
    <w:p>
      <w:pPr>
        <w:pStyle w:val="Heading3"/>
      </w:pPr>
      <w:r>
        <w:t>Résumé :</w:t>
      </w:r>
    </w:p>
    <w:p>
      <w:r>
        <w:t xml:space="preserve">Le but du travail est de d"velopper un modéle numérique qui se rapproche le plus possible de la réalité de l'analyse dynamique des structures ponts routiers ou ponts roulants sous des charges dynamiques véhicules ou chariot du ponts roulants nous entamons l'étude par une modélisation des équations régissant le comportement dynamique des structures sollicitées par des charges mobiles en se basant sur la formulation de lagrange et l'analyse modale notre étude est composée de deux parties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