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microacoustique des differents modes de propagation dans les structures monocouches et multicouches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Boudour; Amar/ Université Badji Mokhtar/ Belkahla,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Le Contrôle Non Destructif (CND) a pris depuis plus deux décades, une place croissante dans le domaine industriel, biologique et médical et se trouve de plus en plus integré aux cycles de fabrication. Il a nécessité le développement de techniques de contrôle permettant l'analyse interne d'un objet, souvent volumineux, sans prélèvement d'échantillons, tels que: les matériaux de haute technologie, aérospatial, centrale nucléaire, les cultures Vivo et In-Vivo</w:t>
        <w:br/>
        <w:br/>
        <w:t>D'un point de vue économique, le Contrôle Non Destructif présente deux avantages majeurs:-</w:t>
        <w:br/>
        <w:br/>
        <w:t>* Les remplacements inutiles peuvent être évités</w:t>
        <w:br/>
        <w:br/>
        <w:t>* Les défauts liés a la fabrication ou au vieillissement, sont détectés avant l'apparition d'un problème grave. (Le coût d'une défaillance dépasse largement la valeur de la pièce à remplacer).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