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 la structure du chassis d'une locomotive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Ramdane/ Araar, M/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comportement/ structure/ chassis/ locomotive/ </w:t>
            </w:r>
          </w:p>
        </w:tc>
      </w:tr>
    </w:tbl>
    <w:p>
      <w:pPr>
        <w:pStyle w:val="Heading3"/>
      </w:pPr>
      <w:r>
        <w:t>Résumé :</w:t>
      </w:r>
    </w:p>
    <w:p>
      <w:r>
        <w:t>Le travail qui m'a été confié par ferrovial consiste à faire une analyse statique des contraintes dans le châssis de locomotive bb600h en éléments finis lors des essais statiques à vide du châssis, afin d'éviter les déformations destructives des</w:t>
        <w:br/>
        <w:br/>
        <w:t>structures des châssis. la méthode de calcul du châssis en éléments finis nous a permis de déterminer les déplacements et les contraintes dans le châssis en question au cours des essais. après avoir essayer plusieurs logiciels de calcul tel que robot,sap80, sap90 et sap 2000.0n choisis ce dernier pour ces capacités de performance. l'étude du comportement du châssis se résume en ce qui suit : 1) calcul statique de la structure du châssis en éléments finis pour les trois cas d'essai suivants : a) essai de traction à vide.</w:t>
        <w:br/>
        <w:br/>
        <w:t>b) essai de compression à vide.</w:t>
        <w:br/>
        <w:br/>
        <w:t>c) essai de compression en diagonale à vide. résultas obtenus par calcul à ceux obtenus</w:t>
        <w:br/>
        <w:br/>
        <w:t>2) comparaison des expérimentalement( réalisés par un laboratoire français), afin de valider la méthode de calcul de la structure.</w:t>
        <w:br/>
        <w:br/>
        <w:t>3) variation de l'épaisseur des éléments les plus importants de la structure du châssis et ceci pour les trois cas d'essai cités ci dessus.</w:t>
        <w:br/>
        <w:br/>
        <w:t>a) variation de l'épaisseur des deux longerons (23 à 46mm).</w:t>
        <w:br/>
        <w:br/>
        <w:t>b) variation de l'épaisseur des trois traverses(0 à 75mm). c) variation de l'épaisseur des quatre tôles renforts (10 à 100mm).</w:t>
        <w:br/>
        <w:br/>
        <w:t>pour chaque cas d'essai on a déterminer les déplacements suivant les trois directions ainsi que les contraintes principales dans les zones les plus chargées de la structure du châssis. on a proposer de renforcer ces zones et d'alléger les zones a faibles contraintes.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