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Rétention des phénols en chromatographie liquide à haute performance sur phase inversée greffée c18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bir acidi; Anissa/ Bouchami, Tidjani/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phénol/ modélisation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Les temps de rétentions en chromatographie liquide à haute performance sur phase inversée greffée c18; des 18 composés phénoliques divertissement substitués, ont été corrélés en premier lieu avec deux descripteurs LOG P logarithme de facteur de partage et E : energie totale, en introduisant des données de l'indice LOG P calculées par le logiciel de modélisat moléculaire Hyer Chem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