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 Contribution à l'étude de matériaux optiques à x(2) non nul de type : KTaO3 et Ba2NaNb5O15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Benslama; Amina/ Université Badji Mokhtar/ Belkahla,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optiques/ matériaux ferroélectriques/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ferroélectriques font partie de la fammille des diélectriques qui se caractérisent par leur capacité à produire un champ électrique dont la source est constituée par les dipoles électriques situés au niveau des groupements stables de la matière(atomes, ions, molécules)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