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de la retention et de la resolution en chromatographie en phase gazeuse : theorie et 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Ferchichi; Loubna/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Université Badji Mokhtar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chromatographie/ fraction infinitesimale/ </w:t>
            </w:r>
          </w:p>
        </w:tc>
      </w:tr>
    </w:tbl>
    <w:p>
      <w:pPr>
        <w:pStyle w:val="Heading3"/>
      </w:pPr>
      <w:r>
        <w:t>Résumé :</w:t>
      </w:r>
    </w:p>
    <w:p>
      <w:r>
        <w:t>La disponibilité générale de micro-compputers a relancé l'interêt pour la prévision de la rétention en chromatographie en phase gazeuse ( CPG). A titre d'exemple, nous citerons le modèle de simulation informatique introduit par syder et commercialisé par L.C resources qui est très populaire aux USA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