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Efficacité des huiles essentielles de quelques plantes aromatiques et médicinales utilisées pour des activités biologiques, physiologiques et médicales :extraction, analyse et valorisation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Grine; Sara/ Université Badji Mokhtar/ TAIBI, F/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huiles essentielles/ pelargonium graveolens/ salvia officinalis/ </w:t>
            </w:r>
          </w:p>
        </w:tc>
      </w:tr>
    </w:tbl>
    <w:p>
      <w:pPr>
        <w:pStyle w:val="Heading3"/>
      </w:pPr>
      <w:r>
        <w:t>Résumé :</w:t>
      </w:r>
    </w:p>
    <w:p>
      <w:r>
        <w:t xml:space="preserve">Le présent travail s'inscrit dans le cadre d'une collaboration de recherche entre deux laboratoires d'excellence, le  aboratoire de Biologie Animale Appliquée (LBAA) et le Laboratoire de Chimie Organique Appliquée (LCOA), dans le but de valoriser  eux plantes locales à savoir Pelargonium graveolens (Geraniaceae) et Salvia officinalis (Lamiaceae) et d'identifier de  ouvelles molécules d'origine végétale à potentiel insecticide et thérapeutique. Une étude histologique a été réalisée sur les parties aériennes des deux plantes étudiées pour localiser les structures sécrétrices des huiles essentielles. Ces dernières ont été extraites par hydrodistillation et ont fait l’objet de quelques analyses qualitatives et quantitatives. Une analyse physico-chimique a été réalisée pour confirmer la pureté des HE. Un screening phytochimique a été fait pour identifier les principaux groupes chimiques. Enfin, une analyse chromatographique sur couche mince et sur phase gazeuse couplée à une spectrométrie de masse (CPG/SM) ont été effectuées pour déterminer les composants chimiques. Les résultats obtenus, démontrent que les deux plantes étudiées sont riches en terpènes. La CPG-SM nous a permis d’identifier, chez P. graveolens, 57 composés dont le ك-citronellol (23,67%), le géraniol (14,57%) et le linalool (6,09%) comme composés majoritaires. De plus, chez S. officinalis, parmi les 42 composés identifiés, les composés majoritaires sont le camphor  18,59%), l’a- thujone (16,37%) et le 1,8 cinéole (16,10%).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