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l'influence de la déformation de la conduite viscoélastique sur les écoulements instationnaires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Chebicheb; Zakia/ Université Badji Mokhtar/ Otmani,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contribution/ déformation/ influence/ viscoélastique/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nous avons mis en évidence la possibilité de traiter numériquement</w:t>
        <w:br/>
        <w:br/>
        <w:t>le phénomène d'écoulement instationnaire en conduite, avec la prise en compte de la</w:t>
        <w:br/>
        <w:br/>
        <w:t>déformation de la paroi en matériau élastique ou viscoélastique alors on peut tirer les</w:t>
        <w:br/>
        <w:br/>
        <w:t>conclusions suivantes:</w:t>
        <w:br/>
        <w:br/>
        <w:t>1. les propriétés mécaniques du matériau et la température ont une influence signifiante sur la réponse du système fluide-conduite, comme il a été montré, les matériaux rigides seront soumis à des grandes pressions que les matériaux moins rigides.</w:t>
        <w:br/>
        <w:br/>
        <w:t>2. l'effet de poisson peut entraîner particulièrement dans les systèmes de conduites à grandes longueurs des fluctuations de hautes fréquences, pour les pressions et contraintes qui sont à leur tour d'amplitudes supérieurs à celles calculées à partir du modèle classique.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