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Mécanismes de formation des composés fe Co et Fe-Co-Mo obtenus par broyage mécanique haute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Moumeni; Hayet/ Université Badji Mokhtar/ Alleg, Safia/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formation/ broyage mecanique/ </w:t>
            </w:r>
          </w:p>
        </w:tc>
      </w:tr>
    </w:tbl>
    <w:p>
      <w:pPr>
        <w:pStyle w:val="Heading3"/>
      </w:pPr>
      <w:r>
        <w:t>Résumé :</w:t>
      </w:r>
    </w:p>
    <w:p>
      <w:r>
        <w:t>la synthèse, la caractérisation et les domaines d'application des nanomatériaux bénéficient d'un intérêt croissant depuis quelques décennies à cause de leurs propriétés physico-chimiques, mécaniques et magnétiques qui se trouvent modifiées par rapport à celles des matériaux ayant une taille de grains micrométriques. les différents changements induits par la réduction de la taille des cristallites jusqu'à l'échelle nanométrique concernent entre autre la diminution des températures de debye et de curie, l'augmentation de la diffusivité et de la ductilité des céramiques fragiles et la réduction de l'aimantation à saturation [gleiter et al. 1991,1992a, 1992b].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