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optoelectronique du compose chalcopyrite CuInSe2 en couches minces polycristallines.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Maasmi; Abderrahmane/ Université Badji Mokhtar/ Bouzaabata,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Optoélectronique/ </w:t>
            </w:r>
          </w:p>
        </w:tc>
      </w:tr>
    </w:tbl>
    <w:p>
      <w:pPr>
        <w:pStyle w:val="Heading3"/>
      </w:pPr>
      <w:r>
        <w:t>Résumé :</w:t>
      </w:r>
    </w:p>
    <w:p>
      <w:r>
        <w:t>les materiauxdemiconducteurs de la colonne iv (si, ge) les composen du type ii-iv (gaas, insb) ou ii-vi (cds, été beaucoup etudies contribuant ainsi au zns) développement de et ont 74 la physique des semiconducteurs. la compréhension de leurs propriétés physiques a permis de les utiliser pour la fabrication de nombreux types de composants électroniques tels que infrarouge, les lasers et les cellules solaires. les détecteurs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