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par spectrometrie mossbauer de la decomposition de phase dans l'alliage Fe-30.8Cr-12.2 CO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Alleg; Safia/ Lahoubi, M./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spectrométrie/ alliage Fe-30.8Cr-12.2 CO/ </w:t>
            </w:r>
          </w:p>
        </w:tc>
      </w:tr>
    </w:tbl>
    <w:p>
      <w:pPr>
        <w:pStyle w:val="Heading3"/>
      </w:pPr>
      <w:r>
        <w:t>Résumé :</w:t>
      </w:r>
    </w:p>
    <w:p>
      <w:r>
        <w:t>- Les différents environnements détectés par spectrométrie Mossbauer permettent de</w:t>
        <w:br/>
        <w:br/>
        <w:t>préciser les distributions d'interstitiels dans l'austénite y et les martensites a' et a" ainsi que l'influence</w:t>
        <w:br/>
        <w:br/>
        <w:t>des lacunes dans FedNy'. Les paramètres hyperfins sont comparés aux valeurs publiées dans Fe-C</w:t>
        <w:br/>
        <w:br/>
        <w:t xml:space="preserve">et Fe-N.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