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certains aspects metallurgiques des acirsX.C.35,Z.C.N :26-7 et Z5 C.Nn.d.19-4-3 soumis a des ecrouissages performants a froi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hin; Essaid/ Université Houari Boumediene/ Mazanek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aspects/ metallurgiques des acir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s expériences, dans le cas du traitement thermique des 3 aciers, on n'a pas tenu compte du facteur économique; et ceci pour éviter tout risque de fissures, de rupture ou de présence d'une mauvaise structur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