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s aspects metallurgiques des acirsX.C.35,Z.C.N :26-7 et Z5 C.Nn.d.19-4-3 soumis a des ecrouissages performants a f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hin; Essaid/ Université Houari Boumediene/ Mazanek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aspects/ metallurgiques des aci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s expériences, dans le cas du traitement thermique des 3 aciers, on n'a pas tenu compte du facteur économique; et ceci pour éviter tout risque de fissures, de rupture ou de présence d'une mauvaise structu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