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biodiversité floristique de la région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Nouasria; Djaouida/ Université Badji Mokhtar/ Mezedjeri, Lyamine/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inventaire floristique/ etude phytoécologique/ etude pédologique/ </w:t>
            </w:r>
          </w:p>
        </w:tc>
      </w:tr>
    </w:tbl>
    <w:p>
      <w:pPr>
        <w:pStyle w:val="Heading3"/>
      </w:pPr>
      <w:r>
        <w:t>Résumé :</w:t>
      </w:r>
    </w:p>
    <w:p>
      <w:r>
        <w:t>Ce mémoire a pour objectif une étude de la phytodiversité d'un maquis à pistacia lentiscus l. dans la région de roknia. la méthodologie repose principalement sur une étude pédologique, floristique et une étude ethnobotanique sur l'utilisation thérapeutique de la plante. les résultats obtenus montrent que le sol de la station est faiblement acide, non salé avec une teneur en matière organique et calcaire très élevé. le cortège floristique comporte 102 espèces appartenant à 92 genres et 43 familles dont la plus représentée et celle des asteraceae (23,53%). dominée par les éléments méditerranéens (63,72%) et cosmopolites (10,58%) cette flore est caractérisée morphologiquement par la dominance des herbacées annuelles (33,33 %) et biologiquement par les thérophytes (32,35%) ainsi que les espèces anémochores (29,41%). les espèces à degré de rareté très commun sont les plus représentés (38,28%). l'étude ethnobotanique nous permet de noter que les femmes sont utilisées beaucoup plus les pistachiers par rapport aux hommes (70 % contre 30 %). en ce qui concerne l'âge des utilisateurs, nous avons noté que la tranche d'âge (41-50 ans) est utilisé beaucoup plus les plantes médicinales par rapport aux autres tranches d'âge avec un taux de 40%. concernant les informations sur la plante, nous avons remarqué que l'organe le plus utilisé est le fruit avec un taux de (96,66%). pour la maladie la plus traité c'est les brûlures avec un taux de (33,33%).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