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Traitement des eaux résiduaires de laiterie par electrocoagulation et couplage en mode dynamique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Eulmi; Amina/ Hazourli, Sabir/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traitement/ charbon actif/ </w:t>
            </w:r>
          </w:p>
        </w:tc>
      </w:tr>
    </w:tbl>
    <w:p>
      <w:pPr>
        <w:pStyle w:val="Heading3"/>
      </w:pPr>
      <w:r>
        <w:t>Résumé :</w:t>
      </w:r>
    </w:p>
    <w:p>
      <w:r>
        <w:t>Les eaux résiduaires de l’industrie laitière contiennent essentiellement des composés</w:t>
        <w:br/>
        <w:br/>
        <w:t>organiques formant une charge polluante considérable néfaste pour l’environnement. Pour ce</w:t>
        <w:br/>
        <w:br/>
        <w:t>type d’eaux, les traitements employés sont souvent biologiques. Dans cette étude, il est tenté</w:t>
        <w:br/>
        <w:br/>
        <w:t>des traitements physico-chimiques simples à mettre en place, rapides et peu couteux. Ces</w:t>
        <w:br/>
        <w:br/>
        <w:t>traitements sont l’oxydation chimique avec H2O2 et K2S2O8 à différentes concentrations, le</w:t>
        <w:br/>
        <w:br/>
        <w:t>couplage EC/Fenton à pH 3 et 7 avec différentes surfaces actives d’électrodes ainsi que le</w:t>
        <w:br/>
        <w:br/>
        <w:t>couplage en continu EC/Adsorption sur CAG.</w:t>
        <w:br/>
        <w:br/>
        <w:t>Les résultats de l’optimisation de chacune de ces techniques ont montré que seule le couplage</w:t>
        <w:br/>
        <w:br/>
        <w:t>EC/Adsorption sur CAG donne des taux de réduction de plus de 98% pour la DCO, la DBO5,</w:t>
        <w:br/>
        <w:br/>
        <w:t>la turbidité et les graisses en un temps de traitement très court (~15 min). De plus le faible</w:t>
        <w:br/>
        <w:br/>
        <w:t xml:space="preserve">coût opérationnel obtenu (~ 3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