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des aubes des turbines a vapeur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Daghboudj; Samir/ Université Badji Mokhtar/ Gahmousse, Abderrahmene/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contribution/ vibration/ turbines/ aubes/ </w:t>
            </w:r>
          </w:p>
        </w:tc>
      </w:tr>
    </w:tbl>
    <w:p>
      <w:pPr>
        <w:pStyle w:val="Heading3"/>
      </w:pPr>
      <w:r>
        <w:t>Résumé :</w:t>
      </w:r>
    </w:p>
    <w:p>
      <w:r>
        <w:t>L 'objectif de cette étude est de contribuer à la compréhension approfondie et complète de la turbine à vapeur à large utilisation dans la production de l'énergie électrique avec ses éléments constitutifs essentiels . nous avons déjà relevé que la recherche bibliographique par ordinateur, en plus des moyens classiques de pibliothèque, n a permis de récolter que des références assez généralisées. les calculs de conception des turbines à vapeur, souvent répétitifs et complexes, nécessitent actuellement la production de logiciels de calculs tenant compte des conditions d'entrées variables pour les diverses configurations de turbines ; cette étude concerne principalement les problèmes suivants :</w:t>
        <w:br/>
        <w:br/>
        <w:t>le vrillage des aubes longues et extra-longues des étages basse pression: des turbines à vapeur où nous tenons aussi à signaler que notre 'computer search", dans les banques de données internationales dispombles sur ce sujet, a affiché ' pas de publication", révélant combien chaque consirucieur de turbomachines tient à ses techniques détaillées de conception et de fabrication.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