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analyse du comportement dynamique des ailettes de turbunes a vapeur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Nafa; Ali/ Université Badji Mokhtar/ B, Merzoug/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comportement dynamique/ ailettes / turbunes/ </w:t>
            </w:r>
          </w:p>
        </w:tc>
      </w:tr>
    </w:tbl>
    <w:p>
      <w:pPr>
        <w:pStyle w:val="Heading3"/>
      </w:pPr>
      <w:r>
        <w:t>Résumé :</w:t>
      </w:r>
    </w:p>
    <w:p>
      <w:r>
        <w:t>Au terme de ce mémoire, il apparaît que la synthétisation du système disque-ailette par un code numérique (cdisque.for) permettant la détermination des fréquences propres et des à se révèle de déformées modales correspondantes de la structure,se révèle de première importance pour toute étude dynamique sérieuse. cette étape essentielle permettra, dés maintenant, d'accéder aux niveaux de contraintes dynamiques.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