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électronique et positronique du GaP et de L'InP Sous pression hydrostatique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Abbouni; Nadia/ Aourag, H./ Université Djillali Liabes /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elèctronique/ hydrostatique/ positronique GaP et de L'InP/ </w:t>
            </w:r>
          </w:p>
        </w:tc>
      </w:tr>
    </w:tbl>
    <w:p>
      <w:pPr>
        <w:pStyle w:val="Heading3"/>
      </w:pPr>
      <w:r>
        <w:t>Résumé :</w:t>
      </w:r>
    </w:p>
    <w:p>
      <w:r>
        <w:t>La physique des solides, en tant que branche de la physique atomique, est née au début du XX° siècle. Vers 1912, après la découverte de la diffraction des rayons x par les cristaux, les physiciens se sont intéressés à la structure atomique des solides et aux électrons qui s'y trouvent. Cette étude a été précédée par une phase plus descriptive où seules les formes et les propriétés physiques globales telles que la dureté, l'indice optique, etc..., retenaient l'attention. Du point de vue atomique, les solides comme toute matière, sont constitués d'une association de particules élémentaires (protons, neutrons, électrons, photons, etc....). Le problème fondamental de la physique des solides consiste en la compréhension des lois qui gouvernent les interactions de ces particules.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