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activité toxicologique des composes contenant le groupement phosphonate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Guezane Lakoud; Samia/ Berredjem, Malika/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phosphonate/ éaction d'arbuzov/ </w:t>
            </w:r>
          </w:p>
        </w:tc>
      </w:tr>
    </w:tbl>
    <w:p>
      <w:pPr>
        <w:pStyle w:val="Heading3"/>
      </w:pPr>
      <w:r>
        <w:t>Résumé :</w:t>
      </w:r>
    </w:p>
    <w:p>
      <w:r>
        <w:t>L’introduction des groupements phosphonates dans différentes molécules organiques</w:t>
        <w:br/>
        <w:br/>
        <w:t>joue un rôle important en chimie du phosphore.</w:t>
        <w:br/>
        <w:br/>
        <w:t>Au cours de ce travail, nous avons développé la synthèse d’une nouvelle série</w:t>
        <w:br/>
        <w:br/>
        <w:t>d’amidophosphonates à partir d’aminoesters préalablement choisis, par différentes</w:t>
        <w:br/>
        <w:br/>
        <w:t>méthodes : réaction d’Arbuzov, réaction de Becker et par une réaction de couplage en</w:t>
        <w:br/>
        <w:br/>
        <w:t>utilisation l’agent activant « BOP ».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