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Etude structurale : Acylation d’amines et Oxazolidinones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Hamida/ Université Badji Mokhtar/ Nour-Eddine Aouf/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Anaba</w:t>
            </w:r>
          </w:p>
        </w:tc>
      </w:tr>
      <w:tr>
        <w:trPr>
          <w:trHeight w:val="567"/>
        </w:trPr>
        <w:tc>
          <w:tcPr>
            <w:tcW w:type="dxa" w:w="3000"/>
          </w:tcPr>
          <w:p>
            <w:r>
              <w:t>Sujet(s)</w:t>
            </w:r>
          </w:p>
        </w:tc>
        <w:tc>
          <w:tcPr>
            <w:tcW w:type="dxa" w:w="7000"/>
          </w:tcPr>
          <w:p>
            <w:r>
              <w:t xml:space="preserve">water/ protection/ green chemistry/ n-acylation/ amines/ aceic/ </w:t>
            </w:r>
          </w:p>
        </w:tc>
      </w:tr>
    </w:tbl>
    <w:p>
      <w:pPr>
        <w:pStyle w:val="Heading3"/>
      </w:pPr>
      <w:r>
        <w:t>Résumé :</w:t>
      </w:r>
    </w:p>
    <w:p>
      <w:r>
        <w:t>Au cours de ce travail, nous avons acylé une série d’amines (primaires et secondaires) par l’agent d’acylation (Anhydride Acétique). En utilisant l’eau comme solvant, nous avons pu réaliser cette acylation avec des rendements élevés et des temps relativement courts .Cette méthode respecte au moins un ou deux des douze principes de la chimie verte. Le p-Aminophénol acylé sélectivement sur sa fonction amine à été obtenu avec un bon rendement. Ainsi nous avons pu accéder facilement aux: ? N-Phenylacetamide. ? N-(4-nitrophényle) acétamide. ? N-(4-methoxyphenyle) acétamide. ? 1-Morpholinoéthanone. Les structures des composés acylés ont été élucidées par des méthodes spectroscopiques usuelles IR et RMN de 1H.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