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 la réactivité dans la réaction d’estérification enzymatique du D-glucose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Hellal; Djamila/ Université Badji Mokhtar/ Bidjou-Haiour Chahla/ </w:t>
            </w:r>
          </w:p>
        </w:tc>
      </w:tr>
      <w:tr>
        <w:trPr>
          <w:trHeight w:val="567"/>
        </w:trPr>
        <w:tc>
          <w:tcPr>
            <w:tcW w:type="dxa" w:w="3000"/>
          </w:tcPr>
          <w:p>
            <w:r>
              <w:t>Nombre de Pages</w:t>
            </w:r>
          </w:p>
        </w:tc>
        <w:tc>
          <w:tcPr>
            <w:tcW w:type="dxa" w:w="7000"/>
          </w:tcPr>
          <w:p>
            <w:r>
              <w:t>67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enzyme/ estérification/ enzyme immobilisée/ </w:t>
            </w:r>
          </w:p>
        </w:tc>
      </w:tr>
    </w:tbl>
    <w:p>
      <w:pPr>
        <w:pStyle w:val="Heading3"/>
      </w:pPr>
      <w:r>
        <w:t>Résumé :</w:t>
      </w:r>
    </w:p>
    <w:p>
      <w:r>
        <w:t>Les esters de sucre sont des tensioactifs non-ioniques possédant une grande particularité structurale qui autorise leur utilisation dans divers domaines (produits détergents, cosmétiques, pharmaceutiques, alimentaires…etc). Leur synthèse est réalisée soit par voie chimique soit par voie enzymatique. Au cours de ce travail nous avons étudié la réaction d’estérification du D-glucose par l’acide laurique comme agent acylant dans des solvants à différentes polarités (éthyle méthyle cétone/diméthyle sulfoxyde) en présence d’une enzyme fongique : la lipase de Candida cylindracéa libre et immobilisée sur silice et sur célite à l’échelle de laboratoire dans le but de comparer les résultats obtenus avec l’enzyme libre et immobilisée. Nous avons rapporté dans ce travail une étude des différents paramètres qui influent sur la réactivité dans la réaction d’estérification du D-glucose (agent acylant, enzyme, solvant, température, quantité du tamis moléculaire). La meilleure conversion (60%) est obtenue avec l’enzyme immobilisée su célite dans l’éthyle méthyle cétone à 40°C.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